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3473" w14:textId="77777777" w:rsidR="006A7DF0" w:rsidRDefault="006A7DF0" w:rsidP="006A7DF0">
      <w:pPr>
        <w:autoSpaceDE w:val="0"/>
        <w:autoSpaceDN w:val="0"/>
        <w:adjustRightInd w:val="0"/>
        <w:jc w:val="center"/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</w:pPr>
    </w:p>
    <w:p w14:paraId="6E4CAA24" w14:textId="77777777" w:rsidR="00171E1C" w:rsidRDefault="00B03504" w:rsidP="007F5198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r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Aria compressa e sostenibilità ambientale: </w:t>
      </w:r>
    </w:p>
    <w:p w14:paraId="2F7F9522" w14:textId="5CA9847D" w:rsidR="00AC4759" w:rsidRDefault="00B03504" w:rsidP="007F5198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r>
        <w:rPr>
          <w:rFonts w:ascii="Arial" w:hAnsi="Arial"/>
          <w:b/>
          <w:bCs/>
          <w:color w:val="2E74B5"/>
          <w:spacing w:val="-10"/>
          <w:sz w:val="32"/>
          <w:szCs w:val="32"/>
        </w:rPr>
        <w:t>i</w:t>
      </w:r>
      <w:r w:rsidR="009C6BC3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segreti del T</w:t>
      </w:r>
      <w:r w:rsidR="001714D4">
        <w:rPr>
          <w:rFonts w:ascii="Arial" w:hAnsi="Arial"/>
          <w:b/>
          <w:bCs/>
          <w:color w:val="2E74B5"/>
          <w:spacing w:val="-10"/>
          <w:sz w:val="32"/>
          <w:szCs w:val="32"/>
        </w:rPr>
        <w:t>E</w:t>
      </w:r>
      <w:r w:rsidR="009C6BC3">
        <w:rPr>
          <w:rFonts w:ascii="Arial" w:hAnsi="Arial"/>
          <w:b/>
          <w:bCs/>
          <w:color w:val="2E74B5"/>
          <w:spacing w:val="-10"/>
          <w:sz w:val="32"/>
          <w:szCs w:val="32"/>
        </w:rPr>
        <w:t>W</w:t>
      </w:r>
      <w:r w:rsidR="001714D4">
        <w:rPr>
          <w:rFonts w:ascii="Arial" w:hAnsi="Arial"/>
          <w:b/>
          <w:bCs/>
          <w:color w:val="2E74B5"/>
          <w:spacing w:val="-10"/>
          <w:sz w:val="32"/>
          <w:szCs w:val="32"/>
        </w:rPr>
        <w:t>I</w:t>
      </w:r>
      <w:r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, </w:t>
      </w:r>
      <w:r w:rsidRPr="00B03504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Total </w:t>
      </w:r>
      <w:proofErr w:type="spellStart"/>
      <w:r w:rsidRPr="00B03504">
        <w:rPr>
          <w:rFonts w:ascii="Arial" w:hAnsi="Arial"/>
          <w:b/>
          <w:bCs/>
          <w:color w:val="2E74B5"/>
          <w:spacing w:val="-10"/>
          <w:sz w:val="32"/>
          <w:szCs w:val="32"/>
        </w:rPr>
        <w:t>Equivalent</w:t>
      </w:r>
      <w:proofErr w:type="spellEnd"/>
      <w:r w:rsidRPr="00B03504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Warming Impact </w:t>
      </w:r>
    </w:p>
    <w:p w14:paraId="70213206" w14:textId="6B34DF1D" w:rsidR="00AC4759" w:rsidRDefault="00AC4759" w:rsidP="007F5198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66604E9F" w14:textId="77777777" w:rsidR="00662226" w:rsidRPr="00B03504" w:rsidRDefault="00662226" w:rsidP="007F5198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32C02633" w14:textId="77777777" w:rsidR="00171E1C" w:rsidRDefault="00AC4759" w:rsidP="007F5198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>I nuovi essic</w:t>
      </w:r>
      <w:r w:rsidR="001714D4">
        <w:rPr>
          <w:rFonts w:ascii="Arial" w:hAnsi="Arial"/>
          <w:b/>
          <w:bCs/>
          <w:i/>
          <w:iCs/>
          <w:color w:val="7F7F7F"/>
          <w:sz w:val="24"/>
          <w:szCs w:val="24"/>
        </w:rPr>
        <w:t>c</w:t>
      </w: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atori </w:t>
      </w:r>
      <w:r w:rsidR="009C6BC3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a refrigerazione </w:t>
      </w: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Atlas Copco </w:t>
      </w:r>
      <w:r w:rsidR="009C6BC3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combinano l’utilizzo di </w:t>
      </w:r>
      <w:r w:rsidR="00CE5B61">
        <w:rPr>
          <w:rFonts w:ascii="Arial" w:hAnsi="Arial"/>
          <w:b/>
          <w:bCs/>
          <w:i/>
          <w:iCs/>
          <w:color w:val="7F7F7F"/>
          <w:sz w:val="24"/>
          <w:szCs w:val="24"/>
        </w:rPr>
        <w:t>g</w:t>
      </w:r>
      <w:r w:rsidR="009C6BC3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as a basse emissioni </w:t>
      </w:r>
      <w:r w:rsidR="00CE5B61">
        <w:rPr>
          <w:rFonts w:ascii="Arial" w:hAnsi="Arial"/>
          <w:b/>
          <w:bCs/>
          <w:i/>
          <w:iCs/>
          <w:color w:val="7F7F7F"/>
          <w:sz w:val="24"/>
          <w:szCs w:val="24"/>
        </w:rPr>
        <w:t>con</w:t>
      </w:r>
      <w:r w:rsidR="009C6BC3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la tecnologia VSD, </w:t>
      </w:r>
    </w:p>
    <w:p w14:paraId="4249E8BC" w14:textId="0E281527" w:rsidR="007F5198" w:rsidRDefault="00CE5B61" w:rsidP="007F5198">
      <w:pPr>
        <w:jc w:val="center"/>
        <w:rPr>
          <w:rFonts w:cs="Calibri"/>
          <w:sz w:val="22"/>
          <w:szCs w:val="22"/>
          <w:lang w:eastAsia="en-US"/>
        </w:rPr>
      </w:pP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per </w:t>
      </w:r>
      <w:r w:rsidR="009C6BC3">
        <w:rPr>
          <w:rFonts w:ascii="Arial" w:hAnsi="Arial"/>
          <w:b/>
          <w:bCs/>
          <w:i/>
          <w:iCs/>
          <w:color w:val="7F7F7F"/>
          <w:sz w:val="24"/>
          <w:szCs w:val="24"/>
        </w:rPr>
        <w:t>ottimizza</w:t>
      </w: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>re l’impatto globale sull’ambiente</w:t>
      </w:r>
    </w:p>
    <w:p w14:paraId="21B6B90C" w14:textId="77777777" w:rsidR="00A809F1" w:rsidRPr="00875E07" w:rsidRDefault="00A809F1" w:rsidP="00A6248F">
      <w:pPr>
        <w:jc w:val="center"/>
        <w:rPr>
          <w:rFonts w:ascii="Arial" w:hAnsi="Arial"/>
          <w:b/>
          <w:i/>
          <w:color w:val="949EA5" w:themeColor="text1" w:themeTint="80"/>
          <w:sz w:val="24"/>
          <w:szCs w:val="24"/>
        </w:rPr>
      </w:pPr>
    </w:p>
    <w:p w14:paraId="2B353179" w14:textId="17B529F8" w:rsidR="00F0037D" w:rsidRDefault="00F0037D" w:rsidP="00E90A49">
      <w:pPr>
        <w:pStyle w:val="s15"/>
        <w:spacing w:before="0" w:beforeAutospacing="0" w:after="0" w:afterAutospacing="0"/>
        <w:rPr>
          <w:rFonts w:ascii="Arial" w:hAnsi="Arial" w:cs="Arial"/>
          <w:b/>
          <w:i/>
          <w:color w:val="949EA5" w:themeColor="text1" w:themeTint="80"/>
        </w:rPr>
      </w:pPr>
    </w:p>
    <w:p w14:paraId="1C17BA68" w14:textId="77777777" w:rsidR="00662226" w:rsidRPr="00E3753C" w:rsidRDefault="00662226" w:rsidP="00E90A49">
      <w:pPr>
        <w:pStyle w:val="s15"/>
        <w:spacing w:before="0" w:beforeAutospacing="0" w:after="0" w:afterAutospacing="0"/>
        <w:rPr>
          <w:rFonts w:ascii="Arial" w:hAnsi="Arial" w:cs="Arial"/>
          <w:b/>
          <w:i/>
          <w:color w:val="949EA5" w:themeColor="text1" w:themeTint="80"/>
        </w:rPr>
      </w:pPr>
    </w:p>
    <w:p w14:paraId="4F686E3D" w14:textId="0CC4790C" w:rsidR="00F0037D" w:rsidRDefault="00F0037D" w:rsidP="00DA7055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0"/>
          <w:szCs w:val="20"/>
        </w:rPr>
      </w:pP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Cinisello Balsamo, </w:t>
      </w:r>
      <w:r w:rsidR="00662226">
        <w:rPr>
          <w:rFonts w:ascii="Arial" w:eastAsia="Times New Roman" w:hAnsi="Arial" w:cs="Arial"/>
          <w:color w:val="949EA5" w:themeColor="text1" w:themeTint="80"/>
          <w:sz w:val="20"/>
          <w:szCs w:val="20"/>
        </w:rPr>
        <w:t>01</w:t>
      </w: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</w:t>
      </w:r>
      <w:r w:rsidR="001714D4">
        <w:rPr>
          <w:rFonts w:ascii="Arial" w:eastAsia="Times New Roman" w:hAnsi="Arial" w:cs="Arial"/>
          <w:color w:val="949EA5" w:themeColor="text1" w:themeTint="80"/>
          <w:sz w:val="20"/>
          <w:szCs w:val="20"/>
        </w:rPr>
        <w:t>luglio</w:t>
      </w:r>
      <w:r w:rsidR="00E90A49"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>20</w:t>
      </w:r>
      <w:r w:rsidR="00E90A49">
        <w:rPr>
          <w:rFonts w:ascii="Arial" w:eastAsia="Times New Roman" w:hAnsi="Arial" w:cs="Arial"/>
          <w:color w:val="949EA5" w:themeColor="text1" w:themeTint="80"/>
          <w:sz w:val="20"/>
          <w:szCs w:val="20"/>
        </w:rPr>
        <w:t>20</w:t>
      </w:r>
    </w:p>
    <w:p w14:paraId="01A83769" w14:textId="77777777" w:rsidR="004A558B" w:rsidRDefault="004A558B" w:rsidP="004E5D69">
      <w:pPr>
        <w:rPr>
          <w:rFonts w:ascii="Arial" w:eastAsiaTheme="minorHAnsi" w:hAnsi="Arial" w:cstheme="minorBidi"/>
          <w:color w:val="949EA5" w:themeColor="text1" w:themeTint="80"/>
          <w:lang w:eastAsia="en-US"/>
        </w:rPr>
      </w:pPr>
      <w:bookmarkStart w:id="0" w:name="_Hlk24707475"/>
    </w:p>
    <w:p w14:paraId="2BA5CA2B" w14:textId="61DC90D1" w:rsidR="00CE5B61" w:rsidRDefault="009C6BC3" w:rsidP="00A7713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T</w:t>
      </w:r>
      <w:r w:rsidR="001714D4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W</w:t>
      </w:r>
      <w:r w:rsidR="001714D4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, ovvero </w:t>
      </w:r>
      <w:r w:rsidRPr="009C6BC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Total </w:t>
      </w:r>
      <w:proofErr w:type="spellStart"/>
      <w:r w:rsidRPr="009C6BC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Equivalent</w:t>
      </w:r>
      <w:proofErr w:type="spellEnd"/>
      <w:r w:rsidRPr="009C6BC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Warming Impact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, </w:t>
      </w:r>
      <w:r w:rsidRPr="009C6BC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è il parametro che monitora il comportamento complessivo di una macchina frigorifera ai fini dell’effetto serra</w:t>
      </w:r>
      <w:r w:rsidR="00F1671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.</w:t>
      </w:r>
      <w:r w:rsidRPr="009C6BC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Esso v</w:t>
      </w:r>
      <w:r w:rsidR="00F16717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a</w:t>
      </w:r>
      <w:r w:rsidR="00DB5546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l</w:t>
      </w:r>
      <w:r w:rsidR="00F16717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uta </w:t>
      </w:r>
      <w:r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infatti</w:t>
      </w:r>
      <w:r w:rsidR="00DB5546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F16717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oltre al</w:t>
      </w:r>
      <w:r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l'impatto diretto del </w:t>
      </w:r>
      <w:hyperlink r:id="rId10" w:tooltip="Fluido refrigerante" w:history="1">
        <w:r w:rsidRPr="0017416D">
          <w:rPr>
            <w:rFonts w:ascii="Arial" w:hAnsi="Arial" w:cs="Arial"/>
            <w:noProof w:val="0"/>
            <w:color w:val="949EA5" w:themeColor="text1" w:themeTint="80"/>
            <w:sz w:val="20"/>
            <w:szCs w:val="20"/>
          </w:rPr>
          <w:t>fluido refrigerante</w:t>
        </w:r>
      </w:hyperlink>
      <w:r w:rsidR="00DB5546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qualora si liberasse in atmosfera,</w:t>
      </w:r>
      <w:r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DB5546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le </w:t>
      </w:r>
      <w:r w:rsidR="003C36B0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emissioni climalteranti </w:t>
      </w:r>
      <w:r w:rsidR="00CE5B61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nella produzione e </w:t>
      </w:r>
      <w:r w:rsidR="003C36B0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alimentazione d</w:t>
      </w:r>
      <w:r w:rsidR="00CE5B61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</w:t>
      </w:r>
      <w:r w:rsidR="003C36B0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lla macchina</w:t>
      </w:r>
      <w:r w:rsidR="00CE5B61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C50D18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o </w:t>
      </w:r>
      <w:r w:rsid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quelle </w:t>
      </w:r>
      <w:r w:rsidR="00CE5B61" w:rsidRP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causate da eventuali perdite dei circuiti.</w:t>
      </w:r>
    </w:p>
    <w:p w14:paraId="7FC723FA" w14:textId="4A96C66C" w:rsidR="00B74E0E" w:rsidRDefault="0017416D" w:rsidP="00A7713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Si tratta di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un concetto </w:t>
      </w:r>
      <w:r w:rsidR="00F16717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simile a 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quando si considera</w:t>
      </w:r>
      <w:r w:rsidR="00FE300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no le conseguenze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F16717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sull’ambiente 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di </w:t>
      </w:r>
      <w:r w:rsidR="007D6E39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un’auto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1714D4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elettrica: ai</w:t>
      </w:r>
      <w:r w:rsidR="00F16717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fini di una valutazione globale è necessario </w:t>
      </w:r>
      <w:r w:rsidR="00FE300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valutare</w:t>
      </w:r>
      <w:r w:rsidR="00F16717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 oltre al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le emissioni dell’auto 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mentre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viaggia</w:t>
      </w:r>
      <w:r w:rsidR="00F16717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F16717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quelle 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prodotte durante la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FE300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costruzione 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dell’auto,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come</w:t>
      </w:r>
      <w:r w:rsidR="00816342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F16717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ad esempio le emissioni all’</w:t>
      </w:r>
      <w:r w:rsidR="00B74E0E" w:rsidRPr="003C36B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energia elettrica</w:t>
      </w:r>
      <w:r w:rsidR="00F16717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necessaria a </w:t>
      </w:r>
      <w:r w:rsidR="00B74E0E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caricare le batterie e quelle che derivano dall’estrazione, produzione e trasporto dei combustibili fossili</w:t>
      </w:r>
      <w:r w:rsidR="00CE5B61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utilizzati in fase di produzione.</w:t>
      </w:r>
    </w:p>
    <w:p w14:paraId="5D57CC44" w14:textId="11B74913" w:rsidR="0017416D" w:rsidRDefault="00826595" w:rsidP="00A7713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 danni ambie</w:t>
      </w:r>
      <w:r w:rsidR="005334ED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n</w:t>
      </w:r>
      <w:r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tali dovuti ai gas refrigeranti sono noti</w:t>
      </w:r>
      <w:r w:rsidR="000600C4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:</w:t>
      </w:r>
      <w:r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da anni si parla de</w:t>
      </w:r>
      <w:r w:rsidR="00257A6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lle</w:t>
      </w:r>
      <w:r w:rsid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disastrose</w:t>
      </w:r>
      <w:r w:rsidR="00257A6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conseguenze</w:t>
      </w:r>
      <w:r w:rsid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causate</w:t>
      </w:r>
      <w:r w:rsidR="00257A6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da</w:t>
      </w:r>
      <w:r w:rsidR="00257A6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eventuali rilasci in atmo</w:t>
      </w:r>
      <w:r w:rsidR="00257A6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s</w:t>
      </w:r>
      <w:r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fera di questi gas che intaccano lo strato di ozono e contribuiscono all’effetto serra.</w:t>
      </w:r>
      <w:r w:rsidR="00D10D0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5334ED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Il GWP (Global Warning Potential) è il parametro </w:t>
      </w:r>
      <w:r w:rsidR="000861AE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che esprime l'effetto serra (in 100 anni) di un gas rispetto alla CO2, il cui potenziale di riferimento è pari a 1. In linea con gli obiettivi di</w:t>
      </w:r>
      <w:r w:rsidR="00D10D0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A7713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cambiamento climatico definiti dall’Unione Europea,</w:t>
      </w:r>
      <w:r w:rsidR="000861AE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A7713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="000861AE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l Regolamento sui Gas Fluorurati (F-Gas Regulation) del 2014 ha introdotto </w:t>
      </w:r>
      <w:r w:rsidR="00A7713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alcune </w:t>
      </w:r>
      <w:r w:rsidR="000861AE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misure per evitare l’utilizzo di gas dannosi per l’ambiente,</w:t>
      </w:r>
      <w:r w:rsidR="00257A6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fra cui il divieto a partire dal </w:t>
      </w:r>
      <w:r w:rsid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1° gennaio</w:t>
      </w:r>
      <w:r w:rsidR="00257A6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2020 di utilizzare </w:t>
      </w:r>
      <w:r w:rsidR="00257A6E" w:rsidRPr="0044006C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impianti fissi di refrigerazione contenenti F-Gas con GWP &gt; 2.500.</w:t>
      </w:r>
      <w:r w:rsidR="0017416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</w:p>
    <w:p w14:paraId="202B1405" w14:textId="7B34B0AC" w:rsidR="00A77138" w:rsidRDefault="004D7123" w:rsidP="00A7713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Oltre ai </w:t>
      </w:r>
      <w:r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potenziali danni ambientali dovuti alla possibile fuoriuscita di gas</w:t>
      </w:r>
      <w:r w:rsidR="00A7713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bisogna però anche considerare</w:t>
      </w:r>
      <w:r w:rsidR="00866093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quelli dovuti alle perdite del circuito dovut</w:t>
      </w:r>
      <w:r w:rsidR="00A7713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</w:t>
      </w:r>
      <w:r w:rsidR="00866093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a</w:t>
      </w:r>
      <w:r w:rsidR="00257A6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="00866093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materiali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e</w:t>
      </w:r>
      <w:r w:rsidR="00866093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al consumo energetico della macchina, 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nonché quelli </w:t>
      </w:r>
      <w:r w:rsidR="00553D3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causati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553D3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alle</w:t>
      </w:r>
      <w:r w:rsidR="000600C4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866093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emissioni 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in </w:t>
      </w:r>
      <w:r w:rsidR="00A7713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fase di produzione, considerate nel TEWI.</w:t>
      </w:r>
      <w:r w:rsidR="00F57115" w:rsidRPr="00A946F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</w:p>
    <w:p w14:paraId="5120B398" w14:textId="6F714FC9" w:rsidR="008529DD" w:rsidRDefault="00257A6E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Le aziende attente alla sostenibilità ambientale non possono trascurare questi effett</w:t>
      </w:r>
      <w:r w:rsidR="00A7713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="00553D3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 w:rsidR="004D712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e t</w:t>
      </w:r>
      <w:r w:rsidR="00A7713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ra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 </w:t>
      </w:r>
      <w:r w:rsidR="00553D3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settori di applicazione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in cui </w:t>
      </w:r>
      <w:r w:rsidR="00553D3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essi 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dev</w:t>
      </w:r>
      <w:r w:rsidR="004D712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ono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essere pres</w:t>
      </w:r>
      <w:r w:rsidR="004D712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in considerazione</w:t>
      </w:r>
      <w:r w:rsidR="004D712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44006C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si trovano 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gli impianti di aria compressa che usano </w:t>
      </w:r>
      <w:r w:rsidR="007D6E39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essiccatori a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refrigerazione per evitare che la </w:t>
      </w:r>
      <w:r w:rsidR="00A63430" w:rsidRPr="003F543A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condensa </w:t>
      </w:r>
      <w:r w:rsidR="00A6343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creata nella compressione possa </w:t>
      </w:r>
      <w:r w:rsidR="00A63430" w:rsidRPr="003F543A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causare avarie e interruzioni di produzione.  </w:t>
      </w:r>
    </w:p>
    <w:p w14:paraId="70848B2E" w14:textId="77423163" w:rsidR="00355F20" w:rsidRDefault="00C50D18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Gli </w:t>
      </w:r>
      <w:r w:rsidR="007D6E39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essiccatori</w:t>
      </w:r>
      <w:r w:rsid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C06708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d’aria FD 100-300</w:t>
      </w:r>
      <w:r w:rsidR="00DC7DDB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VSD (ovvero a velocità variabile)</w:t>
      </w:r>
      <w:r w:rsidR="00C06708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di Atlas Copco garantiscono un valore di TEWI molto basso: </w:t>
      </w:r>
      <w:r w:rsidR="00553D3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essi </w:t>
      </w:r>
      <w:r w:rsidR="00C06708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uniscono infatti all’utilizzo d</w:t>
      </w:r>
      <w:r w:rsid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i </w:t>
      </w:r>
      <w:r w:rsidR="00C06708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gas con un GWP coerente con la normativa F-GAS un basso consumo energetico</w:t>
      </w:r>
      <w:r w:rsidR="00553D3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. </w:t>
      </w:r>
      <w:r w:rsidR="00355F2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L</w:t>
      </w:r>
      <w:r w:rsidR="00C06708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’impatto ambientale globale d</w:t>
      </w:r>
      <w:r w:rsidR="00355F2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i queste </w:t>
      </w:r>
      <w:r w:rsidR="00C06708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macchin</w:t>
      </w:r>
      <w:r w:rsidR="00553D37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</w:t>
      </w:r>
      <w:r w:rsidR="00355F20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è quindi ridotto in maniera significativa</w:t>
      </w:r>
      <w:r w:rsidR="00C06708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. </w:t>
      </w:r>
    </w:p>
    <w:p w14:paraId="72197D92" w14:textId="63F7B048" w:rsidR="004D7123" w:rsidRDefault="00355F20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Gli </w:t>
      </w:r>
      <w:r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FD 100-300 </w:t>
      </w:r>
      <w:r w:rsidR="00DC7DDB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VSD </w:t>
      </w:r>
      <w:r w:rsidR="004D712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g</w:t>
      </w:r>
      <w:r w:rsidR="00B12A6D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arantisc</w:t>
      </w:r>
      <w:r w:rsid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ono </w:t>
      </w:r>
      <w:bookmarkEnd w:id="0"/>
      <w:r w:rsidR="004D7123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inoltre un</w:t>
      </w:r>
      <w:r w:rsidR="00B12A6D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punto di rugiada </w:t>
      </w:r>
      <w:r w:rsidR="00DB1086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in pressione </w:t>
      </w:r>
      <w:r w:rsidR="00B12A6D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stabile </w:t>
      </w:r>
      <w:r w:rsidR="00DB1086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in classe 4 (</w:t>
      </w:r>
      <w:r w:rsidR="00B12A6D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+ 3°</w:t>
      </w:r>
      <w:r w:rsidR="00DB1086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C) in accordo con la</w:t>
      </w:r>
      <w:r w:rsidR="00B12A6D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norma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tiva</w:t>
      </w:r>
      <w:r w:rsidR="00B12A6D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ISO 8573-1</w:t>
      </w:r>
      <w:r w:rsidR="004D712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del</w:t>
      </w:r>
      <w:r w:rsidR="00B12A6D" w:rsidRP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2010</w:t>
      </w:r>
      <w:r w:rsidR="00C06708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, e </w:t>
      </w:r>
      <w:r w:rsidR="004D712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vengono 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fornit</w:t>
      </w:r>
      <w:r w:rsidR="00C06708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con </w:t>
      </w:r>
      <w:r w:rsidR="008529DD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il 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sofisticato controller Elektronikon® Touch </w:t>
      </w:r>
      <w:r w:rsidR="008529DD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che permette di avere 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a colpo d'occhio tutte le informazioni</w:t>
      </w:r>
      <w:r w:rsidR="008529DD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sul funzionamento della macchina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, come il punto di rugiada programmato e quello reale. </w:t>
      </w:r>
    </w:p>
    <w:p w14:paraId="3B4FF7D8" w14:textId="68646612" w:rsidR="00B03504" w:rsidRDefault="00355F20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Grazie alla 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combinazione con una connessione ethernet e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con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il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servizio di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monitoraggio 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da 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remoto SMARTLINK, le prestazioni del sistema dell'aria dell'essiccatore e gli intervalli di manutenzione </w:t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sono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4D7123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efficacemente </w:t>
      </w:r>
      <w:r w:rsidR="00B03504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ottimizzati</w:t>
      </w:r>
      <w:r w:rsidR="008529DD" w:rsidRPr="008529D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.</w:t>
      </w:r>
    </w:p>
    <w:p w14:paraId="6EACC0E4" w14:textId="7470CA6F" w:rsidR="00662226" w:rsidRDefault="00662226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</w:p>
    <w:p w14:paraId="2612FBD6" w14:textId="30BFB1C9" w:rsidR="00662226" w:rsidRDefault="00662226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</w: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ab/>
        <w:t>./..</w:t>
      </w:r>
    </w:p>
    <w:p w14:paraId="50EEAA6C" w14:textId="5F7A4D38" w:rsidR="00662226" w:rsidRDefault="00662226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lastRenderedPageBreak/>
        <w:t>../..</w:t>
      </w:r>
    </w:p>
    <w:p w14:paraId="5B780B50" w14:textId="2756D035" w:rsidR="00662226" w:rsidRDefault="00662226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</w:p>
    <w:p w14:paraId="487E5A6B" w14:textId="77777777" w:rsidR="00662226" w:rsidRPr="00C06708" w:rsidRDefault="00662226" w:rsidP="008529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</w:p>
    <w:p w14:paraId="05E3F243" w14:textId="325F9A8E" w:rsidR="00B03504" w:rsidRDefault="00B03504" w:rsidP="00A77138">
      <w:pPr>
        <w:jc w:val="both"/>
        <w:rPr>
          <w:rFonts w:ascii="Arial" w:eastAsia="Times New Roman" w:hAnsi="Arial"/>
          <w:color w:val="949EA5" w:themeColor="text1" w:themeTint="80"/>
        </w:rPr>
      </w:pPr>
      <w:r w:rsidRPr="0044006C">
        <w:rPr>
          <w:rFonts w:ascii="Arial" w:eastAsia="Times New Roman" w:hAnsi="Arial"/>
          <w:color w:val="949EA5" w:themeColor="text1" w:themeTint="80"/>
        </w:rPr>
        <w:t>"Da sempre all’avanguardia sulle tecnologie per l’aria compressa</w:t>
      </w:r>
      <w:r w:rsidR="007D6E39">
        <w:rPr>
          <w:rFonts w:ascii="Arial" w:eastAsia="Times New Roman" w:hAnsi="Arial"/>
          <w:color w:val="949EA5" w:themeColor="text1" w:themeTint="80"/>
        </w:rPr>
        <w:t>,</w:t>
      </w:r>
      <w:r w:rsidRPr="0044006C">
        <w:rPr>
          <w:rFonts w:ascii="Arial" w:eastAsia="Times New Roman" w:hAnsi="Arial"/>
          <w:color w:val="949EA5" w:themeColor="text1" w:themeTint="80"/>
        </w:rPr>
        <w:t xml:space="preserve"> Atlas Copco </w:t>
      </w:r>
      <w:r w:rsidR="004D7123">
        <w:rPr>
          <w:rFonts w:ascii="Arial" w:eastAsia="Times New Roman" w:hAnsi="Arial"/>
          <w:color w:val="949EA5" w:themeColor="text1" w:themeTint="80"/>
        </w:rPr>
        <w:t xml:space="preserve">ha deciso di </w:t>
      </w:r>
      <w:r w:rsidRPr="0044006C">
        <w:rPr>
          <w:rFonts w:ascii="Arial" w:eastAsia="Times New Roman" w:hAnsi="Arial"/>
          <w:color w:val="949EA5" w:themeColor="text1" w:themeTint="80"/>
        </w:rPr>
        <w:t>integra</w:t>
      </w:r>
      <w:r w:rsidR="004D7123">
        <w:rPr>
          <w:rFonts w:ascii="Arial" w:eastAsia="Times New Roman" w:hAnsi="Arial"/>
          <w:color w:val="949EA5" w:themeColor="text1" w:themeTint="80"/>
        </w:rPr>
        <w:t>re</w:t>
      </w:r>
      <w:r w:rsidRPr="0044006C">
        <w:rPr>
          <w:rFonts w:ascii="Arial" w:eastAsia="Times New Roman" w:hAnsi="Arial"/>
          <w:color w:val="949EA5" w:themeColor="text1" w:themeTint="80"/>
        </w:rPr>
        <w:t xml:space="preserve"> la tecnologia di azionamento a velocità variabile </w:t>
      </w:r>
      <w:r w:rsidR="008529DD">
        <w:rPr>
          <w:rFonts w:ascii="Arial" w:eastAsia="Times New Roman" w:hAnsi="Arial"/>
          <w:color w:val="949EA5" w:themeColor="text1" w:themeTint="80"/>
        </w:rPr>
        <w:t xml:space="preserve">negli </w:t>
      </w:r>
      <w:r w:rsidR="007D6E39" w:rsidRPr="0044006C">
        <w:rPr>
          <w:rFonts w:ascii="Arial" w:eastAsia="Times New Roman" w:hAnsi="Arial"/>
          <w:color w:val="949EA5" w:themeColor="text1" w:themeTint="80"/>
        </w:rPr>
        <w:t>essiccato</w:t>
      </w:r>
      <w:r w:rsidR="007D6E39">
        <w:rPr>
          <w:rFonts w:ascii="Arial" w:eastAsia="Times New Roman" w:hAnsi="Arial"/>
          <w:color w:val="949EA5" w:themeColor="text1" w:themeTint="80"/>
        </w:rPr>
        <w:t>ri</w:t>
      </w:r>
      <w:r w:rsidRPr="0044006C">
        <w:rPr>
          <w:rFonts w:ascii="Arial" w:eastAsia="Times New Roman" w:hAnsi="Arial"/>
          <w:color w:val="949EA5" w:themeColor="text1" w:themeTint="80"/>
        </w:rPr>
        <w:t xml:space="preserve"> a refrigerazione </w:t>
      </w:r>
      <w:r w:rsidR="008529DD">
        <w:rPr>
          <w:rFonts w:ascii="Arial" w:eastAsia="Times New Roman" w:hAnsi="Arial"/>
          <w:color w:val="949EA5" w:themeColor="text1" w:themeTint="80"/>
        </w:rPr>
        <w:t xml:space="preserve">per </w:t>
      </w:r>
      <w:r w:rsidRPr="0044006C">
        <w:rPr>
          <w:rFonts w:ascii="Arial" w:eastAsia="Times New Roman" w:hAnsi="Arial"/>
          <w:color w:val="949EA5" w:themeColor="text1" w:themeTint="80"/>
        </w:rPr>
        <w:t xml:space="preserve">garantire </w:t>
      </w:r>
      <w:r w:rsidR="008529DD">
        <w:rPr>
          <w:rFonts w:ascii="Arial" w:eastAsia="Times New Roman" w:hAnsi="Arial"/>
          <w:color w:val="949EA5" w:themeColor="text1" w:themeTint="80"/>
        </w:rPr>
        <w:t xml:space="preserve">alle aziende </w:t>
      </w:r>
      <w:r w:rsidRPr="0044006C">
        <w:rPr>
          <w:rFonts w:ascii="Arial" w:eastAsia="Times New Roman" w:hAnsi="Arial"/>
          <w:color w:val="949EA5" w:themeColor="text1" w:themeTint="80"/>
        </w:rPr>
        <w:t xml:space="preserve">bassi consumi energetici e </w:t>
      </w:r>
      <w:r w:rsidR="00553D37">
        <w:rPr>
          <w:rFonts w:ascii="Arial" w:eastAsia="Times New Roman" w:hAnsi="Arial"/>
          <w:color w:val="949EA5" w:themeColor="text1" w:themeTint="80"/>
        </w:rPr>
        <w:t>una riduzione significativa del</w:t>
      </w:r>
      <w:r w:rsidR="008529DD" w:rsidRPr="008529DD">
        <w:rPr>
          <w:rFonts w:ascii="Arial" w:eastAsia="Times New Roman" w:hAnsi="Arial"/>
          <w:color w:val="949EA5" w:themeColor="text1" w:themeTint="80"/>
        </w:rPr>
        <w:t>le emissioni di gas ad effetto serra generate nel ciclo di vita di un prodotto/servizio</w:t>
      </w:r>
      <w:r w:rsidRPr="0044006C">
        <w:rPr>
          <w:rFonts w:ascii="Arial" w:eastAsia="Times New Roman" w:hAnsi="Arial"/>
          <w:color w:val="949EA5" w:themeColor="text1" w:themeTint="80"/>
        </w:rPr>
        <w:t xml:space="preserve">", </w:t>
      </w:r>
      <w:r w:rsidRPr="008F5BFF">
        <w:rPr>
          <w:rFonts w:ascii="Arial" w:eastAsia="Times New Roman" w:hAnsi="Arial"/>
          <w:color w:val="949EA5" w:themeColor="text1" w:themeTint="80"/>
        </w:rPr>
        <w:t>afferma Andrea Tr</w:t>
      </w:r>
      <w:r w:rsidR="007D6E39" w:rsidRPr="008F5BFF">
        <w:rPr>
          <w:rFonts w:ascii="Arial" w:eastAsia="Times New Roman" w:hAnsi="Arial"/>
          <w:color w:val="949EA5" w:themeColor="text1" w:themeTint="80"/>
        </w:rPr>
        <w:t>e</w:t>
      </w:r>
      <w:r w:rsidRPr="008F5BFF">
        <w:rPr>
          <w:rFonts w:ascii="Arial" w:eastAsia="Times New Roman" w:hAnsi="Arial"/>
          <w:color w:val="949EA5" w:themeColor="text1" w:themeTint="80"/>
        </w:rPr>
        <w:t>zzi</w:t>
      </w:r>
      <w:r w:rsidR="008F5BFF" w:rsidRPr="008F5BFF">
        <w:rPr>
          <w:rFonts w:ascii="Arial" w:eastAsia="Times New Roman" w:hAnsi="Arial"/>
          <w:color w:val="949EA5" w:themeColor="text1" w:themeTint="80"/>
        </w:rPr>
        <w:t>, Product Marketing Manager d</w:t>
      </w:r>
      <w:r w:rsidRPr="008F5BFF">
        <w:rPr>
          <w:rFonts w:ascii="Arial" w:eastAsia="Times New Roman" w:hAnsi="Arial"/>
          <w:color w:val="949EA5" w:themeColor="text1" w:themeTint="80"/>
        </w:rPr>
        <w:t>i Atlas Copco.</w:t>
      </w:r>
      <w:r w:rsidRPr="0044006C">
        <w:rPr>
          <w:rFonts w:ascii="Arial" w:eastAsia="Times New Roman" w:hAnsi="Arial"/>
          <w:color w:val="949EA5" w:themeColor="text1" w:themeTint="80"/>
        </w:rPr>
        <w:t xml:space="preserve"> </w:t>
      </w:r>
    </w:p>
    <w:p w14:paraId="18B911B4" w14:textId="0EE8F13F" w:rsidR="00662226" w:rsidRDefault="00662226" w:rsidP="00A77138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197BC2F9" w14:textId="3BF39011" w:rsidR="00662226" w:rsidRDefault="00662226" w:rsidP="00A77138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09EAAC34" w14:textId="0ADCFA12" w:rsidR="00662226" w:rsidRDefault="00662226" w:rsidP="00A77138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5A723A56" w14:textId="77777777" w:rsidR="00662226" w:rsidRPr="0044006C" w:rsidRDefault="00662226" w:rsidP="00A77138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26AA7F85" w14:textId="77777777" w:rsidR="00F0037D" w:rsidRPr="0044006C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  <w:r w:rsidRPr="0044006C">
        <w:rPr>
          <w:rFonts w:ascii="Arial" w:hAnsi="Arial"/>
          <w:sz w:val="18"/>
          <w:szCs w:val="18"/>
        </w:rPr>
        <w:t>Gruppo Atlas Copco</w:t>
      </w:r>
    </w:p>
    <w:p w14:paraId="75EADB6B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  <w:r w:rsidRPr="0044006C">
        <w:rPr>
          <w:rFonts w:ascii="Arial" w:hAnsi="Arial"/>
          <w:sz w:val="18"/>
          <w:szCs w:val="18"/>
        </w:rPr>
        <w:t>Le grandi idee accelerano l’innovazione. In Atlas Copco, fin dal 1873, trasformiamo le idee industriali in vantaggi e benefici per il business. Ascoltando i nostri clienti e conoscendo le loro necessità, sviluppiamo valore e innoviamo, focalizzandoci sul futuro. Atlas Copco ha sede a Stoccolma, Svezia, con clienti in più</w:t>
      </w:r>
      <w:r>
        <w:rPr>
          <w:rFonts w:ascii="Arial" w:hAnsi="Arial"/>
          <w:sz w:val="18"/>
          <w:szCs w:val="18"/>
        </w:rPr>
        <w:t xml:space="preserve"> di 180 paesi e 37000 impiegati. Fatturato nel 2018 di BSEK 95 / 9 </w:t>
      </w:r>
      <w:proofErr w:type="spellStart"/>
      <w:r>
        <w:rPr>
          <w:rFonts w:ascii="Arial" w:hAnsi="Arial"/>
          <w:sz w:val="18"/>
          <w:szCs w:val="18"/>
        </w:rPr>
        <w:t>Beur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4DF08A5C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1FF8DA3E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28D948CD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32CAB6DE" w14:textId="0D1E15FD" w:rsidR="00F0037D" w:rsidRPr="00F0037D" w:rsidRDefault="00F0037D" w:rsidP="00F0037D">
      <w:pPr>
        <w:rPr>
          <w:rFonts w:ascii="Segoe UI" w:eastAsia="Times New Roman" w:hAnsi="Segoe UI" w:cs="Segoe UI"/>
        </w:rPr>
      </w:pPr>
      <w:r>
        <w:rPr>
          <w:rFonts w:ascii="Arial" w:hAnsi="Arial"/>
        </w:rPr>
        <w:t xml:space="preserve">Per saperne di più: </w:t>
      </w:r>
      <w:hyperlink r:id="rId11" w:history="1">
        <w:r w:rsidR="006A2A3E">
          <w:rPr>
            <w:rStyle w:val="Collegamentoipertestuale"/>
            <w:rFonts w:ascii="Arial" w:hAnsi="Arial"/>
          </w:rPr>
          <w:t>www.atlascopco.it/essiccatori-FD-VSD</w:t>
        </w:r>
      </w:hyperlink>
      <w:bookmarkStart w:id="1" w:name="_GoBack"/>
      <w:bookmarkEnd w:id="1"/>
    </w:p>
    <w:p w14:paraId="25D626AF" w14:textId="77777777" w:rsidR="00F0037D" w:rsidRDefault="00F0037D" w:rsidP="00F0037D">
      <w:pPr>
        <w:tabs>
          <w:tab w:val="left" w:pos="1348"/>
        </w:tabs>
        <w:jc w:val="both"/>
        <w:rPr>
          <w:rFonts w:ascii="Arial" w:eastAsiaTheme="minorHAnsi" w:hAnsi="Arial"/>
          <w:color w:val="FF0000"/>
        </w:rPr>
      </w:pPr>
    </w:p>
    <w:p w14:paraId="2396DEB8" w14:textId="77777777" w:rsidR="00F0037D" w:rsidRDefault="00F0037D" w:rsidP="00F0037D">
      <w:pPr>
        <w:tabs>
          <w:tab w:val="left" w:pos="1348"/>
        </w:tabs>
        <w:jc w:val="both"/>
        <w:rPr>
          <w:rFonts w:ascii="Arial" w:hAnsi="Arial"/>
          <w:color w:val="FF0000"/>
        </w:rPr>
      </w:pPr>
    </w:p>
    <w:p w14:paraId="6DEAF5D5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69E5E709" w14:textId="32C555E4" w:rsidR="00F0037D" w:rsidRDefault="00F0037D" w:rsidP="00F0037D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19F1" wp14:editId="1E90C43F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F76A" w14:textId="77777777" w:rsidR="000D1E4A" w:rsidRDefault="000D1E4A" w:rsidP="00F0037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4A2F4E36" w14:textId="77777777" w:rsidR="000D1E4A" w:rsidRDefault="000D1E4A" w:rsidP="00F0037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348 9854037 – olga.calenti@updating.it                   </w:t>
                            </w:r>
                          </w:p>
                          <w:p w14:paraId="13D84A02" w14:textId="77777777" w:rsidR="000D1E4A" w:rsidRDefault="000D1E4A" w:rsidP="00F0037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348 9854041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C19F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135BF76A" w14:textId="77777777" w:rsidR="000D1E4A" w:rsidRDefault="000D1E4A" w:rsidP="00F0037D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4A2F4E36" w14:textId="77777777" w:rsidR="000D1E4A" w:rsidRDefault="000D1E4A" w:rsidP="00F0037D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348 9854037 – olga.calenti@updating.it                   </w:t>
                      </w:r>
                    </w:p>
                    <w:p w14:paraId="13D84A02" w14:textId="77777777" w:rsidR="000D1E4A" w:rsidRDefault="000D1E4A" w:rsidP="00F0037D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348 9854041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D2B72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46D892D3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7D857D65" w14:textId="77777777" w:rsidR="00F0037D" w:rsidRDefault="00F0037D" w:rsidP="00F0037D">
      <w:pPr>
        <w:rPr>
          <w:rStyle w:val="Riferimentointenso"/>
          <w:b w:val="0"/>
          <w:bCs w:val="0"/>
        </w:rPr>
      </w:pPr>
    </w:p>
    <w:p w14:paraId="0528763E" w14:textId="77777777" w:rsidR="00F0037D" w:rsidRDefault="00F0037D" w:rsidP="00F0037D">
      <w:pPr>
        <w:rPr>
          <w:rStyle w:val="Riferimentointenso"/>
          <w:b w:val="0"/>
          <w:bCs w:val="0"/>
        </w:rPr>
      </w:pPr>
    </w:p>
    <w:p w14:paraId="7C4CE763" w14:textId="77777777" w:rsidR="00F0037D" w:rsidRDefault="00F0037D" w:rsidP="00F0037D">
      <w:pPr>
        <w:rPr>
          <w:rStyle w:val="Riferimentointenso"/>
          <w:b w:val="0"/>
          <w:bCs w:val="0"/>
        </w:rPr>
      </w:pPr>
    </w:p>
    <w:p w14:paraId="51E7B2DC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D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EE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EF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0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1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2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3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4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5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6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7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8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9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30A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51E7B30B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51E7B30C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51E7B30D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51E7B30E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51E7B30F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51E7B318" w14:textId="0F0BB29E" w:rsidR="00CA07E3" w:rsidRPr="009455E9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sectPr w:rsidR="00CA07E3" w:rsidRPr="009455E9" w:rsidSect="007B3C54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2268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662D" w14:textId="77777777" w:rsidR="00DC06C1" w:rsidRDefault="00DC06C1">
      <w:r>
        <w:separator/>
      </w:r>
    </w:p>
  </w:endnote>
  <w:endnote w:type="continuationSeparator" w:id="0">
    <w:p w14:paraId="1F31F819" w14:textId="77777777" w:rsidR="00DC06C1" w:rsidRDefault="00D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0D1E4A" w:rsidRPr="00FE1A35" w14:paraId="51E7B32C" w14:textId="77777777" w:rsidTr="006072F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51E7B32B" w14:textId="77777777" w:rsidR="000D1E4A" w:rsidRPr="00FE1A35" w:rsidRDefault="000D1E4A" w:rsidP="006072FD">
          <w:pPr>
            <w:pStyle w:val="3-FooterOperatingName"/>
          </w:pPr>
          <w:bookmarkStart w:id="2" w:name="FtagFr"/>
          <w:r w:rsidRPr="00FE1A35">
            <w:t xml:space="preserve">Atlas Copco </w:t>
          </w:r>
          <w:bookmarkEnd w:id="2"/>
          <w:r w:rsidRPr="00FE1A35">
            <w:t>Italia S.r.l. – Divisione Compressori</w:t>
          </w:r>
        </w:p>
      </w:tc>
    </w:tr>
    <w:tr w:rsidR="000D1E4A" w:rsidRPr="006A2A3E" w14:paraId="51E7B331" w14:textId="77777777" w:rsidTr="006072FD">
      <w:trPr>
        <w:trHeight w:val="238"/>
      </w:trPr>
      <w:tc>
        <w:tcPr>
          <w:tcW w:w="2694" w:type="dxa"/>
          <w:vAlign w:val="bottom"/>
        </w:tcPr>
        <w:p w14:paraId="51E7B32D" w14:textId="77777777" w:rsidR="000D1E4A" w:rsidRPr="0016684F" w:rsidRDefault="000D1E4A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51E7B32E" w14:textId="77777777" w:rsidR="000D1E4A" w:rsidRPr="0016684F" w:rsidRDefault="000D1E4A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51E7B32F" w14:textId="77777777" w:rsidR="000D1E4A" w:rsidRPr="006072FD" w:rsidRDefault="000D1E4A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Cap. Soc. € 5.000.000,00 int. versato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51E7B330" w14:textId="77777777" w:rsidR="000D1E4A" w:rsidRPr="0016684F" w:rsidRDefault="000D1E4A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0D1E4A" w:rsidRPr="004A5F41" w14:paraId="51E7B336" w14:textId="77777777" w:rsidTr="006072FD">
      <w:trPr>
        <w:trHeight w:val="238"/>
      </w:trPr>
      <w:tc>
        <w:tcPr>
          <w:tcW w:w="2694" w:type="dxa"/>
          <w:vAlign w:val="bottom"/>
        </w:tcPr>
        <w:p w14:paraId="51E7B332" w14:textId="77777777" w:rsidR="000D1E4A" w:rsidRPr="0016684F" w:rsidRDefault="000D1E4A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51E7B333" w14:textId="77777777" w:rsidR="000D1E4A" w:rsidRPr="0016684F" w:rsidRDefault="000D1E4A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51E7B334" w14:textId="77777777" w:rsidR="000D1E4A" w:rsidRPr="0016684F" w:rsidRDefault="000D1E4A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51E7B335" w14:textId="77777777" w:rsidR="000D1E4A" w:rsidRPr="0016684F" w:rsidRDefault="000D1E4A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 xml:space="preserve">. Reg. Pile e </w:t>
          </w:r>
          <w:proofErr w:type="spellStart"/>
          <w:r w:rsidRPr="0016684F">
            <w:rPr>
              <w:sz w:val="16"/>
              <w:szCs w:val="16"/>
            </w:rPr>
            <w:t>Acc</w:t>
          </w:r>
          <w:proofErr w:type="spellEnd"/>
          <w:r w:rsidRPr="0016684F">
            <w:rPr>
              <w:sz w:val="16"/>
              <w:szCs w:val="16"/>
            </w:rPr>
            <w:t>. IT09060P00000213</w:t>
          </w:r>
        </w:p>
      </w:tc>
    </w:tr>
    <w:tr w:rsidR="000D1E4A" w:rsidRPr="004A5F41" w14:paraId="51E7B33B" w14:textId="77777777" w:rsidTr="006072FD">
      <w:trPr>
        <w:trHeight w:val="238"/>
      </w:trPr>
      <w:tc>
        <w:tcPr>
          <w:tcW w:w="2694" w:type="dxa"/>
          <w:vAlign w:val="bottom"/>
        </w:tcPr>
        <w:p w14:paraId="51E7B337" w14:textId="77777777" w:rsidR="000D1E4A" w:rsidRPr="0016684F" w:rsidRDefault="000D1E4A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51E7B338" w14:textId="77777777" w:rsidR="000D1E4A" w:rsidRPr="0016684F" w:rsidRDefault="000D1E4A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51E7B339" w14:textId="77777777" w:rsidR="000D1E4A" w:rsidRPr="0016684F" w:rsidRDefault="000D1E4A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51E7B33A" w14:textId="77777777" w:rsidR="000D1E4A" w:rsidRPr="0042036E" w:rsidRDefault="000D1E4A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51E7B33C" w14:textId="77777777" w:rsidR="000D1E4A" w:rsidRPr="004A5F41" w:rsidRDefault="000D1E4A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0CF3" w14:textId="77777777" w:rsidR="00DC06C1" w:rsidRDefault="00DC06C1">
      <w:r>
        <w:separator/>
      </w:r>
    </w:p>
  </w:footnote>
  <w:footnote w:type="continuationSeparator" w:id="0">
    <w:p w14:paraId="57FA8B95" w14:textId="77777777" w:rsidR="00DC06C1" w:rsidRDefault="00DC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B31D" w14:textId="77777777" w:rsidR="000D1E4A" w:rsidRDefault="000D1E4A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E7B31E" w14:textId="77777777" w:rsidR="000D1E4A" w:rsidRDefault="000D1E4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B31F" w14:textId="69BF3F8F" w:rsidR="000D1E4A" w:rsidRDefault="000D1E4A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0D1E4A" w14:paraId="51E7B323" w14:textId="77777777">
      <w:tc>
        <w:tcPr>
          <w:tcW w:w="4436" w:type="dxa"/>
        </w:tcPr>
        <w:p w14:paraId="51E7B320" w14:textId="77777777" w:rsidR="000D1E4A" w:rsidRDefault="000D1E4A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1E7B33D" wp14:editId="51E7B33E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51E7B321" w14:textId="77777777" w:rsidR="000D1E4A" w:rsidRDefault="000D1E4A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51E7B322" w14:textId="77777777" w:rsidR="000D1E4A" w:rsidRDefault="000D1E4A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51E7B324" w14:textId="77777777" w:rsidR="000D1E4A" w:rsidRDefault="000D1E4A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B325" w14:textId="77777777" w:rsidR="000D1E4A" w:rsidRDefault="000D1E4A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6" w14:textId="77777777" w:rsidR="000D1E4A" w:rsidRDefault="000D1E4A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7" w14:textId="77777777" w:rsidR="000D1E4A" w:rsidRDefault="000D1E4A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8" w14:textId="77777777" w:rsidR="000D1E4A" w:rsidRDefault="000D1E4A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9" w14:textId="77777777" w:rsidR="000D1E4A" w:rsidRDefault="000D1E4A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A" w14:textId="77777777" w:rsidR="000D1E4A" w:rsidRPr="00791A45" w:rsidRDefault="000D1E4A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E7B33F" wp14:editId="51E7B340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sv-SE" w:vendorID="0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3788"/>
    <w:rsid w:val="00013A30"/>
    <w:rsid w:val="000245DC"/>
    <w:rsid w:val="0004029B"/>
    <w:rsid w:val="000517BC"/>
    <w:rsid w:val="000600C4"/>
    <w:rsid w:val="00063845"/>
    <w:rsid w:val="000656A3"/>
    <w:rsid w:val="00070F9D"/>
    <w:rsid w:val="0007457B"/>
    <w:rsid w:val="00075021"/>
    <w:rsid w:val="00076C08"/>
    <w:rsid w:val="000861AE"/>
    <w:rsid w:val="00086FEC"/>
    <w:rsid w:val="00090A36"/>
    <w:rsid w:val="00092AE2"/>
    <w:rsid w:val="0009553C"/>
    <w:rsid w:val="000B179A"/>
    <w:rsid w:val="000B6341"/>
    <w:rsid w:val="000C4A0C"/>
    <w:rsid w:val="000C5C22"/>
    <w:rsid w:val="000D1E4A"/>
    <w:rsid w:val="000D4AD8"/>
    <w:rsid w:val="000D5DC6"/>
    <w:rsid w:val="000D6C68"/>
    <w:rsid w:val="000E189A"/>
    <w:rsid w:val="00107301"/>
    <w:rsid w:val="0011506C"/>
    <w:rsid w:val="00132B0D"/>
    <w:rsid w:val="00141D4E"/>
    <w:rsid w:val="00145185"/>
    <w:rsid w:val="0016684F"/>
    <w:rsid w:val="001714D4"/>
    <w:rsid w:val="00171E1C"/>
    <w:rsid w:val="0017416D"/>
    <w:rsid w:val="001841B4"/>
    <w:rsid w:val="001973B0"/>
    <w:rsid w:val="001B4365"/>
    <w:rsid w:val="001C2B67"/>
    <w:rsid w:val="001C7108"/>
    <w:rsid w:val="001C749E"/>
    <w:rsid w:val="001C7E30"/>
    <w:rsid w:val="001E3C87"/>
    <w:rsid w:val="001F45BB"/>
    <w:rsid w:val="00201292"/>
    <w:rsid w:val="00215993"/>
    <w:rsid w:val="00217E36"/>
    <w:rsid w:val="00220CB5"/>
    <w:rsid w:val="00222315"/>
    <w:rsid w:val="0025089F"/>
    <w:rsid w:val="00257A6E"/>
    <w:rsid w:val="00257D97"/>
    <w:rsid w:val="002659F6"/>
    <w:rsid w:val="00284F87"/>
    <w:rsid w:val="00285D68"/>
    <w:rsid w:val="002A6F1D"/>
    <w:rsid w:val="002C1C48"/>
    <w:rsid w:val="002D2CE2"/>
    <w:rsid w:val="002E34FE"/>
    <w:rsid w:val="003004A4"/>
    <w:rsid w:val="00302168"/>
    <w:rsid w:val="003115B7"/>
    <w:rsid w:val="00311857"/>
    <w:rsid w:val="00312069"/>
    <w:rsid w:val="003136C3"/>
    <w:rsid w:val="00327189"/>
    <w:rsid w:val="0033299D"/>
    <w:rsid w:val="00334527"/>
    <w:rsid w:val="003523FF"/>
    <w:rsid w:val="00355F20"/>
    <w:rsid w:val="00357016"/>
    <w:rsid w:val="00367088"/>
    <w:rsid w:val="003919A9"/>
    <w:rsid w:val="003A21B3"/>
    <w:rsid w:val="003B4924"/>
    <w:rsid w:val="003B644D"/>
    <w:rsid w:val="003B65EE"/>
    <w:rsid w:val="003C36B0"/>
    <w:rsid w:val="003C6922"/>
    <w:rsid w:val="003D2BED"/>
    <w:rsid w:val="003D3785"/>
    <w:rsid w:val="003D42D8"/>
    <w:rsid w:val="003D52E7"/>
    <w:rsid w:val="003E3E9E"/>
    <w:rsid w:val="003E5C1C"/>
    <w:rsid w:val="003E6D0E"/>
    <w:rsid w:val="003F098D"/>
    <w:rsid w:val="003F543A"/>
    <w:rsid w:val="003F614F"/>
    <w:rsid w:val="0042036E"/>
    <w:rsid w:val="00426A4A"/>
    <w:rsid w:val="0044006C"/>
    <w:rsid w:val="00442BB9"/>
    <w:rsid w:val="00450A9C"/>
    <w:rsid w:val="00467D97"/>
    <w:rsid w:val="004870F4"/>
    <w:rsid w:val="00487FB2"/>
    <w:rsid w:val="004A558B"/>
    <w:rsid w:val="004A5F41"/>
    <w:rsid w:val="004B048E"/>
    <w:rsid w:val="004D2875"/>
    <w:rsid w:val="004D7123"/>
    <w:rsid w:val="004E12ED"/>
    <w:rsid w:val="004E5D69"/>
    <w:rsid w:val="004E785D"/>
    <w:rsid w:val="004F05D0"/>
    <w:rsid w:val="004F5A3C"/>
    <w:rsid w:val="00501C85"/>
    <w:rsid w:val="005058A0"/>
    <w:rsid w:val="00512193"/>
    <w:rsid w:val="005334ED"/>
    <w:rsid w:val="00534875"/>
    <w:rsid w:val="00550F6D"/>
    <w:rsid w:val="00552D48"/>
    <w:rsid w:val="00553D37"/>
    <w:rsid w:val="00554372"/>
    <w:rsid w:val="00563BBA"/>
    <w:rsid w:val="005718E7"/>
    <w:rsid w:val="00590E8B"/>
    <w:rsid w:val="00592853"/>
    <w:rsid w:val="00594790"/>
    <w:rsid w:val="005C1E07"/>
    <w:rsid w:val="005C549C"/>
    <w:rsid w:val="005C6FB0"/>
    <w:rsid w:val="005F75F0"/>
    <w:rsid w:val="00605DE7"/>
    <w:rsid w:val="006072FD"/>
    <w:rsid w:val="0062752F"/>
    <w:rsid w:val="00634518"/>
    <w:rsid w:val="00646E43"/>
    <w:rsid w:val="00662226"/>
    <w:rsid w:val="006968CD"/>
    <w:rsid w:val="006A2A3E"/>
    <w:rsid w:val="006A7DF0"/>
    <w:rsid w:val="006B435D"/>
    <w:rsid w:val="006B6D81"/>
    <w:rsid w:val="006C0659"/>
    <w:rsid w:val="006D46EC"/>
    <w:rsid w:val="006D500F"/>
    <w:rsid w:val="006D7B89"/>
    <w:rsid w:val="006E2561"/>
    <w:rsid w:val="006F4330"/>
    <w:rsid w:val="006F4CDD"/>
    <w:rsid w:val="00701551"/>
    <w:rsid w:val="00705C6A"/>
    <w:rsid w:val="00721E07"/>
    <w:rsid w:val="00722A6D"/>
    <w:rsid w:val="00744A1F"/>
    <w:rsid w:val="0076058E"/>
    <w:rsid w:val="007612C3"/>
    <w:rsid w:val="0077099C"/>
    <w:rsid w:val="00786031"/>
    <w:rsid w:val="007874DF"/>
    <w:rsid w:val="00787615"/>
    <w:rsid w:val="007914A4"/>
    <w:rsid w:val="00791A45"/>
    <w:rsid w:val="007A79AA"/>
    <w:rsid w:val="007B145D"/>
    <w:rsid w:val="007B2DB4"/>
    <w:rsid w:val="007B3C54"/>
    <w:rsid w:val="007B44F7"/>
    <w:rsid w:val="007B78BA"/>
    <w:rsid w:val="007C0C11"/>
    <w:rsid w:val="007C4713"/>
    <w:rsid w:val="007C6A6E"/>
    <w:rsid w:val="007D3F72"/>
    <w:rsid w:val="007D4CC3"/>
    <w:rsid w:val="007D6E39"/>
    <w:rsid w:val="007F0726"/>
    <w:rsid w:val="007F3432"/>
    <w:rsid w:val="007F5198"/>
    <w:rsid w:val="007F6294"/>
    <w:rsid w:val="0080334B"/>
    <w:rsid w:val="00812CB5"/>
    <w:rsid w:val="00816342"/>
    <w:rsid w:val="00826595"/>
    <w:rsid w:val="0083451B"/>
    <w:rsid w:val="008368B3"/>
    <w:rsid w:val="008529DD"/>
    <w:rsid w:val="00866093"/>
    <w:rsid w:val="00873838"/>
    <w:rsid w:val="00875E07"/>
    <w:rsid w:val="00882A5D"/>
    <w:rsid w:val="00895F70"/>
    <w:rsid w:val="008A11DF"/>
    <w:rsid w:val="008A3BB7"/>
    <w:rsid w:val="008A5441"/>
    <w:rsid w:val="008B0D06"/>
    <w:rsid w:val="008F3C65"/>
    <w:rsid w:val="008F5BFF"/>
    <w:rsid w:val="008F6858"/>
    <w:rsid w:val="009261DF"/>
    <w:rsid w:val="00927148"/>
    <w:rsid w:val="00941262"/>
    <w:rsid w:val="009455E9"/>
    <w:rsid w:val="00946465"/>
    <w:rsid w:val="00956660"/>
    <w:rsid w:val="009576D0"/>
    <w:rsid w:val="00971961"/>
    <w:rsid w:val="009901AD"/>
    <w:rsid w:val="0099340C"/>
    <w:rsid w:val="009A259C"/>
    <w:rsid w:val="009A2E91"/>
    <w:rsid w:val="009C3C52"/>
    <w:rsid w:val="009C6BC3"/>
    <w:rsid w:val="009D0A51"/>
    <w:rsid w:val="009D15AE"/>
    <w:rsid w:val="009D3173"/>
    <w:rsid w:val="009D5A8D"/>
    <w:rsid w:val="009E246E"/>
    <w:rsid w:val="009E2D62"/>
    <w:rsid w:val="009E3577"/>
    <w:rsid w:val="009F2E95"/>
    <w:rsid w:val="00A10870"/>
    <w:rsid w:val="00A1151C"/>
    <w:rsid w:val="00A15B33"/>
    <w:rsid w:val="00A26D95"/>
    <w:rsid w:val="00A42F82"/>
    <w:rsid w:val="00A61480"/>
    <w:rsid w:val="00A6248F"/>
    <w:rsid w:val="00A63430"/>
    <w:rsid w:val="00A64775"/>
    <w:rsid w:val="00A6613A"/>
    <w:rsid w:val="00A7000E"/>
    <w:rsid w:val="00A7349B"/>
    <w:rsid w:val="00A77138"/>
    <w:rsid w:val="00A809F1"/>
    <w:rsid w:val="00A946FF"/>
    <w:rsid w:val="00AB3088"/>
    <w:rsid w:val="00AC4759"/>
    <w:rsid w:val="00AD4E72"/>
    <w:rsid w:val="00AE3ECB"/>
    <w:rsid w:val="00AF2A11"/>
    <w:rsid w:val="00B03504"/>
    <w:rsid w:val="00B105DE"/>
    <w:rsid w:val="00B12A6D"/>
    <w:rsid w:val="00B235D3"/>
    <w:rsid w:val="00B23C8A"/>
    <w:rsid w:val="00B70A7E"/>
    <w:rsid w:val="00B74E0E"/>
    <w:rsid w:val="00B93545"/>
    <w:rsid w:val="00B94790"/>
    <w:rsid w:val="00B954F4"/>
    <w:rsid w:val="00BB35F9"/>
    <w:rsid w:val="00BC05E8"/>
    <w:rsid w:val="00BF7730"/>
    <w:rsid w:val="00C06708"/>
    <w:rsid w:val="00C1003C"/>
    <w:rsid w:val="00C24AD9"/>
    <w:rsid w:val="00C264EB"/>
    <w:rsid w:val="00C27126"/>
    <w:rsid w:val="00C37694"/>
    <w:rsid w:val="00C50D18"/>
    <w:rsid w:val="00C62281"/>
    <w:rsid w:val="00C8059A"/>
    <w:rsid w:val="00CA07E3"/>
    <w:rsid w:val="00CB0932"/>
    <w:rsid w:val="00CB0BC2"/>
    <w:rsid w:val="00CC601B"/>
    <w:rsid w:val="00CE0862"/>
    <w:rsid w:val="00CE2941"/>
    <w:rsid w:val="00CE2CCA"/>
    <w:rsid w:val="00CE5B61"/>
    <w:rsid w:val="00D02718"/>
    <w:rsid w:val="00D07619"/>
    <w:rsid w:val="00D10D03"/>
    <w:rsid w:val="00D13E6B"/>
    <w:rsid w:val="00D15622"/>
    <w:rsid w:val="00D3723A"/>
    <w:rsid w:val="00D434D3"/>
    <w:rsid w:val="00D503B5"/>
    <w:rsid w:val="00D651CC"/>
    <w:rsid w:val="00D665F1"/>
    <w:rsid w:val="00D75BC6"/>
    <w:rsid w:val="00DA5991"/>
    <w:rsid w:val="00DA7055"/>
    <w:rsid w:val="00DB1086"/>
    <w:rsid w:val="00DB5546"/>
    <w:rsid w:val="00DB67FD"/>
    <w:rsid w:val="00DC06C1"/>
    <w:rsid w:val="00DC1CF8"/>
    <w:rsid w:val="00DC3419"/>
    <w:rsid w:val="00DC6128"/>
    <w:rsid w:val="00DC7DDB"/>
    <w:rsid w:val="00DD0C44"/>
    <w:rsid w:val="00DF32DD"/>
    <w:rsid w:val="00E00555"/>
    <w:rsid w:val="00E11A34"/>
    <w:rsid w:val="00E14FF0"/>
    <w:rsid w:val="00E252B3"/>
    <w:rsid w:val="00E255D2"/>
    <w:rsid w:val="00E3159B"/>
    <w:rsid w:val="00E323C3"/>
    <w:rsid w:val="00E3753C"/>
    <w:rsid w:val="00E60A77"/>
    <w:rsid w:val="00E75EC5"/>
    <w:rsid w:val="00E80FE9"/>
    <w:rsid w:val="00E84BC5"/>
    <w:rsid w:val="00E90A49"/>
    <w:rsid w:val="00E91E71"/>
    <w:rsid w:val="00E92D7B"/>
    <w:rsid w:val="00E96CA0"/>
    <w:rsid w:val="00EA6E62"/>
    <w:rsid w:val="00EB44A8"/>
    <w:rsid w:val="00EC04D7"/>
    <w:rsid w:val="00EC2A42"/>
    <w:rsid w:val="00EF134E"/>
    <w:rsid w:val="00F0037D"/>
    <w:rsid w:val="00F015C1"/>
    <w:rsid w:val="00F102DF"/>
    <w:rsid w:val="00F15ADE"/>
    <w:rsid w:val="00F16717"/>
    <w:rsid w:val="00F31DF5"/>
    <w:rsid w:val="00F345FB"/>
    <w:rsid w:val="00F4462A"/>
    <w:rsid w:val="00F51319"/>
    <w:rsid w:val="00F57115"/>
    <w:rsid w:val="00F63D41"/>
    <w:rsid w:val="00F678C1"/>
    <w:rsid w:val="00F67BA1"/>
    <w:rsid w:val="00F763C7"/>
    <w:rsid w:val="00F91E0B"/>
    <w:rsid w:val="00FA7C7A"/>
    <w:rsid w:val="00FC235B"/>
    <w:rsid w:val="00FC5FC6"/>
    <w:rsid w:val="00FD6D6F"/>
    <w:rsid w:val="00FE1A35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E7B2D6"/>
  <w15:docId w15:val="{D5138351-C9B9-4230-8A52-FD2A364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5D0"/>
    <w:rPr>
      <w:b/>
      <w:bCs/>
    </w:rPr>
  </w:style>
  <w:style w:type="paragraph" w:styleId="Nessunaspaziatura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tlascopco.it/essiccatori-FD-VS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t.wikipedia.org/wiki/Fluido_refrigeran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7ACC27BD2CB43820C2F8224EC940F" ma:contentTypeVersion="13" ma:contentTypeDescription="Create a new document." ma:contentTypeScope="" ma:versionID="f4fa91749e2dce643c9b2b4c7df71d0c">
  <xsd:schema xmlns:xsd="http://www.w3.org/2001/XMLSchema" xmlns:xs="http://www.w3.org/2001/XMLSchema" xmlns:p="http://schemas.microsoft.com/office/2006/metadata/properties" xmlns:ns3="f6cdd3c5-3ff3-4678-917d-0c83c034e266" xmlns:ns4="c6b39b31-bc51-47e2-bde5-4c3a5de8f232" targetNamespace="http://schemas.microsoft.com/office/2006/metadata/properties" ma:root="true" ma:fieldsID="fb6dc23a4d0cf7db4e12e421a52ab683" ns3:_="" ns4:_="">
    <xsd:import namespace="f6cdd3c5-3ff3-4678-917d-0c83c034e266"/>
    <xsd:import namespace="c6b39b31-bc51-47e2-bde5-4c3a5de8f2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d3c5-3ff3-4678-917d-0c83c034e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39b31-bc51-47e2-bde5-4c3a5de8f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D54D2-A9CF-4E96-BC33-6E4968847C2D}">
  <ds:schemaRefs>
    <ds:schemaRef ds:uri="http://schemas.microsoft.com/office/2006/metadata/properties"/>
    <ds:schemaRef ds:uri="http://purl.org/dc/terms/"/>
    <ds:schemaRef ds:uri="f6cdd3c5-3ff3-4678-917d-0c83c034e26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b39b31-bc51-47e2-bde5-4c3a5de8f2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392354-39E3-42EB-B2D6-B01AC789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dd3c5-3ff3-4678-917d-0c83c034e266"/>
    <ds:schemaRef ds:uri="c6b39b31-bc51-47e2-bde5-4c3a5de8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5</TotalTime>
  <Pages>2</Pages>
  <Words>700</Words>
  <Characters>4286</Characters>
  <Application>Microsoft Office Word</Application>
  <DocSecurity>4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Gaia Li Mandri</cp:lastModifiedBy>
  <cp:revision>2</cp:revision>
  <cp:lastPrinted>2020-02-14T09:13:00Z</cp:lastPrinted>
  <dcterms:created xsi:type="dcterms:W3CDTF">2020-07-01T07:22:00Z</dcterms:created>
  <dcterms:modified xsi:type="dcterms:W3CDTF">2020-07-01T07:22:00Z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0x0101004AB7ACC27BD2CB43820C2F8224EC940F</vt:lpwstr>
  </property>
</Properties>
</file>